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A91" w:rsidRDefault="00175A91" w:rsidP="00175A91">
      <w:pPr>
        <w:spacing w:line="480" w:lineRule="auto"/>
      </w:pPr>
    </w:p>
    <w:p w:rsidR="00175A91" w:rsidRDefault="00175A91" w:rsidP="00175A91">
      <w:pPr>
        <w:spacing w:line="480" w:lineRule="auto"/>
      </w:pPr>
    </w:p>
    <w:p w:rsidR="00175A91" w:rsidRDefault="00175A91" w:rsidP="00175A91">
      <w:pPr>
        <w:spacing w:line="480" w:lineRule="auto"/>
      </w:pPr>
    </w:p>
    <w:p w:rsidR="00175A91" w:rsidRDefault="00175A91" w:rsidP="00175A91">
      <w:pPr>
        <w:spacing w:line="480" w:lineRule="auto"/>
      </w:pPr>
    </w:p>
    <w:p w:rsidR="00175A91" w:rsidRDefault="00175A91" w:rsidP="00175A91">
      <w:pPr>
        <w:spacing w:line="480" w:lineRule="auto"/>
      </w:pPr>
    </w:p>
    <w:p w:rsidR="00175A91" w:rsidRDefault="00175A91" w:rsidP="00175A91">
      <w:pPr>
        <w:spacing w:line="480" w:lineRule="auto"/>
      </w:pPr>
    </w:p>
    <w:p w:rsidR="00175A91" w:rsidRDefault="00175A91" w:rsidP="00175A91">
      <w:pPr>
        <w:spacing w:line="480" w:lineRule="auto"/>
      </w:pPr>
    </w:p>
    <w:p w:rsidR="00175A91" w:rsidRDefault="00175A91" w:rsidP="00175A91">
      <w:pPr>
        <w:spacing w:line="480" w:lineRule="auto"/>
        <w:jc w:val="center"/>
      </w:pPr>
      <w:r>
        <w:t>Locating Credible Databases and Research</w:t>
      </w:r>
    </w:p>
    <w:p w:rsidR="00175A91" w:rsidRDefault="00175A91" w:rsidP="00175A91">
      <w:pPr>
        <w:spacing w:line="480" w:lineRule="auto"/>
        <w:jc w:val="center"/>
      </w:pPr>
      <w:r>
        <w:t>Name</w:t>
      </w:r>
    </w:p>
    <w:p w:rsidR="00175A91" w:rsidRDefault="00175A91" w:rsidP="00175A91">
      <w:pPr>
        <w:spacing w:line="480" w:lineRule="auto"/>
        <w:jc w:val="center"/>
      </w:pPr>
      <w:r>
        <w:t>Institution</w:t>
      </w:r>
    </w:p>
    <w:p w:rsidR="00175A91" w:rsidRDefault="00175A91" w:rsidP="00175A91">
      <w:pPr>
        <w:spacing w:line="480" w:lineRule="auto"/>
        <w:jc w:val="center"/>
      </w:pPr>
      <w:r>
        <w:t>Date</w:t>
      </w:r>
    </w:p>
    <w:p w:rsidR="00175A91" w:rsidRDefault="00175A91" w:rsidP="00175A91">
      <w:pPr>
        <w:spacing w:line="480" w:lineRule="auto"/>
      </w:pPr>
    </w:p>
    <w:p w:rsidR="00175A91" w:rsidRDefault="00175A91" w:rsidP="00175A91">
      <w:pPr>
        <w:spacing w:line="480" w:lineRule="auto"/>
      </w:pPr>
    </w:p>
    <w:p w:rsidR="00175A91" w:rsidRDefault="00175A91" w:rsidP="00175A91">
      <w:pPr>
        <w:spacing w:line="480" w:lineRule="auto"/>
      </w:pPr>
    </w:p>
    <w:p w:rsidR="00175A91" w:rsidRDefault="00175A91" w:rsidP="00175A91">
      <w:pPr>
        <w:spacing w:line="480" w:lineRule="auto"/>
      </w:pPr>
    </w:p>
    <w:p w:rsidR="00175A91" w:rsidRDefault="00175A91" w:rsidP="00175A91">
      <w:pPr>
        <w:spacing w:line="480" w:lineRule="auto"/>
      </w:pPr>
    </w:p>
    <w:p w:rsidR="00175A91" w:rsidRDefault="00175A91" w:rsidP="00175A91">
      <w:pPr>
        <w:spacing w:line="480" w:lineRule="auto"/>
      </w:pPr>
    </w:p>
    <w:p w:rsidR="00175A91" w:rsidRDefault="00175A91" w:rsidP="00175A91">
      <w:pPr>
        <w:spacing w:line="480" w:lineRule="auto"/>
      </w:pPr>
    </w:p>
    <w:p w:rsidR="00175A91" w:rsidRDefault="00175A91" w:rsidP="00175A91">
      <w:pPr>
        <w:spacing w:line="480" w:lineRule="auto"/>
      </w:pPr>
    </w:p>
    <w:p w:rsidR="00175A91" w:rsidRDefault="00175A91" w:rsidP="00175A91">
      <w:pPr>
        <w:spacing w:line="480" w:lineRule="auto"/>
      </w:pPr>
    </w:p>
    <w:p w:rsidR="00175A91" w:rsidRDefault="00175A91" w:rsidP="00175A91">
      <w:pPr>
        <w:spacing w:line="480" w:lineRule="auto"/>
      </w:pPr>
    </w:p>
    <w:p w:rsidR="00175A91" w:rsidRDefault="00175A91" w:rsidP="00175A91">
      <w:pPr>
        <w:spacing w:line="480" w:lineRule="auto"/>
      </w:pPr>
    </w:p>
    <w:p w:rsidR="00175A91" w:rsidRDefault="00175A91" w:rsidP="00175A91">
      <w:pPr>
        <w:spacing w:line="480" w:lineRule="auto"/>
      </w:pPr>
    </w:p>
    <w:p w:rsidR="00824113" w:rsidRDefault="00824113" w:rsidP="00175A91">
      <w:pPr>
        <w:spacing w:line="480" w:lineRule="auto"/>
        <w:jc w:val="center"/>
      </w:pPr>
      <w:r>
        <w:lastRenderedPageBreak/>
        <w:t>Locating Credible Databases and Research</w:t>
      </w:r>
    </w:p>
    <w:p w:rsidR="00824113" w:rsidRPr="00175A91" w:rsidRDefault="00824113" w:rsidP="00175A91">
      <w:pPr>
        <w:spacing w:line="480" w:lineRule="auto"/>
        <w:jc w:val="center"/>
        <w:rPr>
          <w:b/>
        </w:rPr>
      </w:pPr>
      <w:r w:rsidRPr="00175A91">
        <w:rPr>
          <w:b/>
        </w:rPr>
        <w:t>Communication and Collaboration Strategies</w:t>
      </w:r>
    </w:p>
    <w:p w:rsidR="00824113" w:rsidRDefault="00824113" w:rsidP="00F721B7">
      <w:pPr>
        <w:spacing w:line="480" w:lineRule="auto"/>
        <w:ind w:firstLine="720"/>
      </w:pPr>
      <w:r>
        <w:t>Ethics plays a very crucial role in the practice of the nursing profession, and the notion of the new nurse to report their unfamiliarity with</w:t>
      </w:r>
      <w:r w:rsidR="00175A91">
        <w:t xml:space="preserve"> the diagnosis of</w:t>
      </w:r>
      <w:r>
        <w:t xml:space="preserve"> type 2 diabetes for the patient was an excellent gesture. As a baccalaureate-prepared nurse supervising clinical staff nurses, one of the communication strategies to encourage nurses to research the diagnosis would be the use of multidisciplinary rounds. Multidisciplinary rounds would provide an opportunity for asking any probing prompts, seek clarifications, and openly share their insights in regards to the diagnosis</w:t>
      </w:r>
      <w:r w:rsidR="00175A91">
        <w:t xml:space="preserve"> (</w:t>
      </w:r>
      <w:r w:rsidR="00175A91" w:rsidRPr="00175A91">
        <w:t>O'Brien</w:t>
      </w:r>
      <w:r w:rsidR="00175A91">
        <w:t xml:space="preserve"> et al. 2018)</w:t>
      </w:r>
      <w:r>
        <w:t xml:space="preserve">. In addition, collaboration would be very critical for the new nurse. Collaboration strategies would include the formation of effective teamwork that allows for group synergy in searching for information regarding the diagnosis. Teamwork would result in the generation of effective information, and also aid in the diagnosis process. Both effective collaboration and communication nursing results in evidence-based practice in the nursing profession characterized by low medical errors, enhanced security and safety within the healthcare organization, and ultimately improved quality of care for patients (Chong et al. 2017). </w:t>
      </w:r>
    </w:p>
    <w:p w:rsidR="00824113" w:rsidRPr="00175A91" w:rsidRDefault="00824113" w:rsidP="00175A91">
      <w:pPr>
        <w:spacing w:line="480" w:lineRule="auto"/>
        <w:jc w:val="center"/>
        <w:rPr>
          <w:b/>
        </w:rPr>
      </w:pPr>
      <w:r w:rsidRPr="00175A91">
        <w:rPr>
          <w:b/>
        </w:rPr>
        <w:t>Obtaining Resources</w:t>
      </w:r>
    </w:p>
    <w:p w:rsidR="00824113" w:rsidRDefault="00824113" w:rsidP="00175A91">
      <w:pPr>
        <w:spacing w:line="480" w:lineRule="auto"/>
        <w:ind w:firstLine="720"/>
      </w:pPr>
      <w:r>
        <w:t>Once there are effective collaboration and communication strategies, the next responsibility would be to aid the nurses in locating the best places for the best information concerning the diagnosis. One of the places to complete research would be in the</w:t>
      </w:r>
      <w:r w:rsidR="00F721B7">
        <w:t xml:space="preserve"> library</w:t>
      </w:r>
      <w:r>
        <w:t xml:space="preserve"> whereby together with the new </w:t>
      </w:r>
      <w:r w:rsidR="00175A91">
        <w:t>nurse;</w:t>
      </w:r>
      <w:r>
        <w:t xml:space="preserve"> we would locate articles relevant to the diagnosis of patients with type 2 diabetes. I would also encourage the use of online search for identifying scholarly and peer-reviewed articles that may contain information about creating awareness to patients in </w:t>
      </w:r>
      <w:r>
        <w:lastRenderedPageBreak/>
        <w:t>preventing type 2 diagnoses. Incorporating such search sources would help the new nurse in generating useful information.</w:t>
      </w:r>
    </w:p>
    <w:p w:rsidR="00824113" w:rsidRPr="00175A91" w:rsidRDefault="00824113" w:rsidP="00175A91">
      <w:pPr>
        <w:spacing w:line="480" w:lineRule="auto"/>
        <w:jc w:val="center"/>
        <w:rPr>
          <w:b/>
        </w:rPr>
      </w:pPr>
      <w:r w:rsidRPr="00175A91">
        <w:rPr>
          <w:b/>
        </w:rPr>
        <w:t>Credible Resources</w:t>
      </w:r>
    </w:p>
    <w:p w:rsidR="00824113" w:rsidRDefault="00824113" w:rsidP="00175A91">
      <w:pPr>
        <w:spacing w:line="480" w:lineRule="auto"/>
        <w:ind w:firstLine="720"/>
      </w:pPr>
      <w:r>
        <w:t xml:space="preserve">One of the sources of online information that could be used to locate evidence for a clinical diagnosis of type 2 diabetes is the website of the </w:t>
      </w:r>
      <w:r w:rsidRPr="00175A91">
        <w:rPr>
          <w:i/>
        </w:rPr>
        <w:t>Center for Disease Control and Prevention</w:t>
      </w:r>
      <w:r>
        <w:t xml:space="preserve">. The Center for Disease Control and Prevention provides critical information on its website about the diagnosis of patients with type 2 diabetes (CDC, 2020). Such information includes insulin and oral medicine prescriptions to reduce sugar levels in the body. Another source would be the website of the </w:t>
      </w:r>
      <w:r w:rsidRPr="00175A91">
        <w:rPr>
          <w:i/>
        </w:rPr>
        <w:t>World Health Organization</w:t>
      </w:r>
      <w:r>
        <w:t>. The World Health Organization on its website provides useful information such as using glycated hemoglobin for the diagnosis of diabetes. Kiserud et al. (2017</w:t>
      </w:r>
      <w:r w:rsidR="0016369C">
        <w:t>)</w:t>
      </w:r>
      <w:r>
        <w:t xml:space="preserve"> noted that the website also recommends blood testing as part of the early diagnosis of patients with type 2 diabetes. In addition, the website recommends the maintenance of normal body weight and shunning the use of tobacco as measures recommended during diagnosis. The </w:t>
      </w:r>
      <w:r w:rsidRPr="00175A91">
        <w:rPr>
          <w:i/>
        </w:rPr>
        <w:t>American Diabetes Association</w:t>
      </w:r>
      <w:r>
        <w:t xml:space="preserve"> also publishes critical information on its website about the diagnosis of type 2 diabetes. According to the American Diabetes Association, the diagnosis of type 2 diabetes includes fasting plasma glucose at the rate of 126 mg/dL (Davies et al. 2018). The American Diabetes Association also recommends the A1C tests for the diagnosis. A1C tests are beneficial due to increased convenience and reduced disruptions during the illness period.  </w:t>
      </w:r>
    </w:p>
    <w:p w:rsidR="00824113" w:rsidRDefault="00824113" w:rsidP="00175A91">
      <w:pPr>
        <w:spacing w:line="480" w:lineRule="auto"/>
        <w:ind w:firstLine="720"/>
      </w:pPr>
      <w:r>
        <w:t xml:space="preserve">Additionally, the article </w:t>
      </w:r>
      <w:r w:rsidRPr="00175A91">
        <w:rPr>
          <w:i/>
        </w:rPr>
        <w:t>Type 2 diabetes and quality of life</w:t>
      </w:r>
      <w:r>
        <w:t xml:space="preserve"> provides useful information for the diagnosis of type 2 diabetes (Trikkalinou et al. 2017). The article introduces a tool known as the Diabetes Quality of Life Measure</w:t>
      </w:r>
      <w:r w:rsidR="00175A91">
        <w:t xml:space="preserve"> (Trikkalinou et al. 2017)</w:t>
      </w:r>
      <w:r>
        <w:t xml:space="preserve">. The tool outlines the dimensions of the diagnosis activity, which include satisfaction, the effect of the treatment, </w:t>
      </w:r>
      <w:r>
        <w:lastRenderedPageBreak/>
        <w:t>anxiety for any experienced complications, and social problems. Besides, the article Lif</w:t>
      </w:r>
      <w:r w:rsidRPr="00175A91">
        <w:rPr>
          <w:i/>
        </w:rPr>
        <w:t>estyle Changes After a Diagnosis of Type 2 Diabetes</w:t>
      </w:r>
      <w:r>
        <w:t xml:space="preserve"> provides some of the behavioral modifications after the diagnosis program (Chong et al. 2017). The article states that after diagnosis for type 2 diabetes, the concerned patients should increase the consumption of fruits and vegetables, increase physical activities, and reduce the consumption of sugary foods or drinks. The new nurse should pass such information to the patient after the diagnosis.</w:t>
      </w:r>
    </w:p>
    <w:p w:rsidR="00824113" w:rsidRPr="00824113" w:rsidRDefault="00824113" w:rsidP="00175A91">
      <w:pPr>
        <w:spacing w:line="480" w:lineRule="auto"/>
        <w:jc w:val="center"/>
        <w:rPr>
          <w:b/>
        </w:rPr>
      </w:pPr>
      <w:r w:rsidRPr="00824113">
        <w:rPr>
          <w:b/>
        </w:rPr>
        <w:t>Conclusion</w:t>
      </w:r>
    </w:p>
    <w:p w:rsidR="00824113" w:rsidRDefault="00824113" w:rsidP="00175A91">
      <w:pPr>
        <w:spacing w:line="480" w:lineRule="auto"/>
        <w:ind w:firstLine="720"/>
      </w:pPr>
      <w:r>
        <w:t>In summation, effective collaboration and communication strategies are critical in researching the diagnosis of type 2 diabetes because they results in evidence-based practice in the nursing profession characterized by low medical errors, enhanced security and safety within the healthcare organization, and ultimately improved quality of care for patients. The places that could be used to complete the research include the</w:t>
      </w:r>
      <w:r w:rsidR="00F721B7">
        <w:t xml:space="preserve"> library</w:t>
      </w:r>
      <w:r>
        <w:t xml:space="preserve"> and online resources. The diagnosis for type 2 diabetes includes the prescription of insulin and oral medications.  </w:t>
      </w:r>
    </w:p>
    <w:p w:rsidR="00175A91" w:rsidRDefault="00175A91" w:rsidP="00175A91">
      <w:pPr>
        <w:spacing w:line="480" w:lineRule="auto"/>
        <w:jc w:val="center"/>
      </w:pPr>
    </w:p>
    <w:p w:rsidR="00175A91" w:rsidRDefault="00175A91" w:rsidP="00175A91">
      <w:pPr>
        <w:spacing w:line="480" w:lineRule="auto"/>
        <w:jc w:val="center"/>
      </w:pPr>
    </w:p>
    <w:p w:rsidR="00175A91" w:rsidRDefault="00175A91" w:rsidP="00175A91">
      <w:pPr>
        <w:spacing w:line="480" w:lineRule="auto"/>
        <w:jc w:val="center"/>
      </w:pPr>
    </w:p>
    <w:p w:rsidR="00175A91" w:rsidRDefault="00175A91" w:rsidP="00175A91">
      <w:pPr>
        <w:spacing w:line="480" w:lineRule="auto"/>
        <w:jc w:val="center"/>
      </w:pPr>
    </w:p>
    <w:p w:rsidR="00175A91" w:rsidRDefault="00175A91" w:rsidP="00175A91">
      <w:pPr>
        <w:spacing w:line="480" w:lineRule="auto"/>
        <w:jc w:val="center"/>
      </w:pPr>
    </w:p>
    <w:p w:rsidR="00175A91" w:rsidRDefault="00175A91" w:rsidP="00175A91">
      <w:pPr>
        <w:spacing w:line="480" w:lineRule="auto"/>
        <w:jc w:val="center"/>
      </w:pPr>
    </w:p>
    <w:p w:rsidR="00175A91" w:rsidRDefault="00175A91" w:rsidP="00175A91">
      <w:pPr>
        <w:spacing w:line="480" w:lineRule="auto"/>
        <w:jc w:val="center"/>
      </w:pPr>
    </w:p>
    <w:p w:rsidR="00175A91" w:rsidRDefault="00175A91" w:rsidP="00175A91">
      <w:pPr>
        <w:spacing w:line="480" w:lineRule="auto"/>
        <w:jc w:val="center"/>
      </w:pPr>
    </w:p>
    <w:p w:rsidR="00175A91" w:rsidRDefault="00175A91" w:rsidP="00175A91">
      <w:pPr>
        <w:spacing w:line="480" w:lineRule="auto"/>
        <w:jc w:val="center"/>
      </w:pPr>
    </w:p>
    <w:p w:rsidR="00175A91" w:rsidRDefault="00175A91" w:rsidP="00175A91">
      <w:pPr>
        <w:spacing w:line="480" w:lineRule="auto"/>
        <w:jc w:val="center"/>
      </w:pPr>
    </w:p>
    <w:p w:rsidR="00824113" w:rsidRDefault="00824113" w:rsidP="00175A91">
      <w:pPr>
        <w:spacing w:line="480" w:lineRule="auto"/>
        <w:jc w:val="center"/>
      </w:pPr>
      <w:bookmarkStart w:id="0" w:name="_GoBack"/>
      <w:bookmarkEnd w:id="0"/>
      <w:r>
        <w:lastRenderedPageBreak/>
        <w:t>References</w:t>
      </w:r>
    </w:p>
    <w:p w:rsidR="00175A91" w:rsidRDefault="00175A91" w:rsidP="00175A91">
      <w:pPr>
        <w:spacing w:line="480" w:lineRule="auto"/>
        <w:ind w:left="720" w:hanging="720"/>
      </w:pPr>
      <w:r>
        <w:t>Centers for Disease Control and Prevention. (2020). National diabetes statistics report, 2020. Atlanta, GA: Centers for Disease Control and Prevention, US Department of Health and Human Services.</w:t>
      </w:r>
    </w:p>
    <w:p w:rsidR="00175A91" w:rsidRDefault="00175A91" w:rsidP="00175A91">
      <w:pPr>
        <w:spacing w:line="480" w:lineRule="auto"/>
        <w:ind w:left="720" w:hanging="720"/>
      </w:pPr>
      <w:r>
        <w:t>Chong, S., Ding, D., Byun, R., Comino, E., Bauman, A., &amp;Jalaludin, B. (2017). Lifestyle changes after a diagnosis of type 2 diabetes. Diabetes Spectrum, 30(1), 43-50.</w:t>
      </w:r>
    </w:p>
    <w:p w:rsidR="00175A91" w:rsidRDefault="00175A91" w:rsidP="00175A91">
      <w:pPr>
        <w:spacing w:line="480" w:lineRule="auto"/>
        <w:ind w:left="720" w:hanging="720"/>
      </w:pPr>
      <w:r>
        <w:t>Davies, M. J., D'Alessio, D. A., Fradkin, J., Kernan, W. N., Mathieu, C., Mingrone, G., ...&amp;Buse, J. B. (2018). Management of hyperglycaemia in type 2 diabetes, 2018.A consensus report by the American Diabetes Association (ADA) and the European Association for the Study of Diabetes (EASD).Diabetologia, 61(12), 2461-2498.</w:t>
      </w:r>
    </w:p>
    <w:p w:rsidR="0016369C" w:rsidRDefault="00175A91" w:rsidP="0016369C">
      <w:pPr>
        <w:spacing w:line="480" w:lineRule="auto"/>
        <w:ind w:left="720" w:hanging="720"/>
      </w:pPr>
      <w:r>
        <w:t>Kiserud, T., Piaggio, G., Carroli, G., Widmer, M., Carvalho, J., Neerup Jensen, L., ...&amp;Benachi, A. (2017). The World Health Organization fetal growth charts: a multinational longitudinal study of ultrasound biometric measurements and estimated fetal weight. PLoS medicine, 14(1), e1002220.</w:t>
      </w:r>
    </w:p>
    <w:p w:rsidR="00175A91" w:rsidRPr="00175A91" w:rsidRDefault="00175A91" w:rsidP="0016369C">
      <w:pPr>
        <w:spacing w:line="480" w:lineRule="auto"/>
        <w:ind w:left="720" w:hanging="720"/>
      </w:pPr>
      <w:r w:rsidRPr="00175A91">
        <w:t xml:space="preserve">O'Brien, A., O'Reilly, K., Dechen, T., Demosthenes, N., Kelly, V., Mackinson, L., ...&amp;Cocchi, M. N. (2018). Redesigning rounds in the ICU: standardizing key elements improves interdisciplinary communication. </w:t>
      </w:r>
      <w:r w:rsidRPr="00175A91">
        <w:rPr>
          <w:i/>
          <w:iCs/>
        </w:rPr>
        <w:t>The Joint Commission Journal on Quality and Patient Safety</w:t>
      </w:r>
      <w:r w:rsidRPr="00175A91">
        <w:t xml:space="preserve">, </w:t>
      </w:r>
      <w:r w:rsidRPr="00175A91">
        <w:rPr>
          <w:i/>
          <w:iCs/>
        </w:rPr>
        <w:t>44</w:t>
      </w:r>
      <w:r w:rsidRPr="00175A91">
        <w:t>(10), 590-598.</w:t>
      </w:r>
    </w:p>
    <w:p w:rsidR="00175A91" w:rsidRDefault="00175A91" w:rsidP="0016369C">
      <w:pPr>
        <w:spacing w:line="480" w:lineRule="auto"/>
        <w:ind w:left="720" w:hanging="720"/>
      </w:pPr>
      <w:r>
        <w:t>Trikkalinou, A., Papazafiropoulou, A. K., &amp;Melidonis, A. (2017). Type 2 diabetes and quality of life. World journal of diabetes, 8(4), 120.</w:t>
      </w:r>
    </w:p>
    <w:p w:rsidR="00175A91" w:rsidRDefault="00175A91" w:rsidP="00175A91">
      <w:pPr>
        <w:spacing w:line="480" w:lineRule="auto"/>
        <w:ind w:left="720" w:hanging="720"/>
      </w:pPr>
    </w:p>
    <w:p w:rsidR="00824113" w:rsidRDefault="00824113" w:rsidP="00175A91">
      <w:pPr>
        <w:spacing w:line="480" w:lineRule="auto"/>
      </w:pPr>
    </w:p>
    <w:p w:rsidR="00824113" w:rsidRDefault="00824113" w:rsidP="00175A91">
      <w:pPr>
        <w:spacing w:line="480" w:lineRule="auto"/>
      </w:pPr>
    </w:p>
    <w:p w:rsidR="00824113" w:rsidRDefault="00824113" w:rsidP="00175A91">
      <w:pPr>
        <w:spacing w:line="480" w:lineRule="auto"/>
      </w:pPr>
    </w:p>
    <w:p w:rsidR="00824113" w:rsidRDefault="00824113" w:rsidP="00175A91">
      <w:pPr>
        <w:spacing w:line="480" w:lineRule="auto"/>
      </w:pPr>
    </w:p>
    <w:p w:rsidR="00824113" w:rsidRDefault="00824113" w:rsidP="00175A91">
      <w:pPr>
        <w:spacing w:line="480" w:lineRule="auto"/>
      </w:pPr>
    </w:p>
    <w:p w:rsidR="00824113" w:rsidRDefault="00824113" w:rsidP="00175A91">
      <w:pPr>
        <w:spacing w:line="480" w:lineRule="auto"/>
      </w:pPr>
    </w:p>
    <w:p w:rsidR="00824113" w:rsidRDefault="00824113" w:rsidP="00175A91">
      <w:pPr>
        <w:spacing w:line="480" w:lineRule="auto"/>
      </w:pPr>
    </w:p>
    <w:p w:rsidR="00824113" w:rsidRDefault="00824113" w:rsidP="00175A91">
      <w:pPr>
        <w:spacing w:line="480" w:lineRule="auto"/>
      </w:pPr>
    </w:p>
    <w:p w:rsidR="00F34199" w:rsidRPr="00824113" w:rsidRDefault="00F34199" w:rsidP="00175A91">
      <w:pPr>
        <w:spacing w:line="480" w:lineRule="auto"/>
      </w:pPr>
    </w:p>
    <w:sectPr w:rsidR="00F34199" w:rsidRPr="00824113" w:rsidSect="00175A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1116" w:rsidRDefault="00D31116" w:rsidP="00175A91">
      <w:r>
        <w:separator/>
      </w:r>
    </w:p>
  </w:endnote>
  <w:endnote w:type="continuationSeparator" w:id="1">
    <w:p w:rsidR="00D31116" w:rsidRDefault="00D31116" w:rsidP="00175A91">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1116" w:rsidRDefault="00D31116" w:rsidP="00175A91">
      <w:r>
        <w:separator/>
      </w:r>
    </w:p>
  </w:footnote>
  <w:footnote w:type="continuationSeparator" w:id="1">
    <w:p w:rsidR="00D31116" w:rsidRDefault="00D31116" w:rsidP="00175A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1" w:rsidRDefault="00175A91">
    <w:pPr>
      <w:pStyle w:val="Header"/>
    </w:pPr>
    <w:r>
      <w:t>LOCATING CREDIBLE DATABASES AND RESEARCH</w:t>
    </w:r>
    <w:r>
      <w:tab/>
    </w:r>
    <w:r w:rsidR="00467885">
      <w:fldChar w:fldCharType="begin"/>
    </w:r>
    <w:r>
      <w:instrText xml:space="preserve"> PAGE   \* MERGEFORMAT </w:instrText>
    </w:r>
    <w:r w:rsidR="00467885">
      <w:fldChar w:fldCharType="separate"/>
    </w:r>
    <w:r w:rsidR="0016369C">
      <w:rPr>
        <w:noProof/>
      </w:rPr>
      <w:t>2</w:t>
    </w:r>
    <w:r w:rsidR="00467885">
      <w:rPr>
        <w:noProof/>
      </w:rPr>
      <w:fldChar w:fldCharType="end"/>
    </w:r>
  </w:p>
  <w:p w:rsidR="00175A91" w:rsidRDefault="00175A9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91" w:rsidRDefault="00175A91">
    <w:pPr>
      <w:pStyle w:val="Header"/>
    </w:pPr>
    <w:r>
      <w:t>Running head: LOCATING CREDIBLE DATABASES AND RESEARCH</w:t>
    </w:r>
    <w:r>
      <w:tab/>
    </w:r>
    <w:r w:rsidR="00467885">
      <w:fldChar w:fldCharType="begin"/>
    </w:r>
    <w:r>
      <w:instrText xml:space="preserve"> PAGE   \* MERGEFORMAT </w:instrText>
    </w:r>
    <w:r w:rsidR="00467885">
      <w:fldChar w:fldCharType="separate"/>
    </w:r>
    <w:r w:rsidR="0016369C">
      <w:rPr>
        <w:noProof/>
      </w:rPr>
      <w:t>1</w:t>
    </w:r>
    <w:r w:rsidR="00467885">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FE6D61"/>
    <w:multiLevelType w:val="multilevel"/>
    <w:tmpl w:val="F3021C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20E13"/>
    <w:rsid w:val="0016369C"/>
    <w:rsid w:val="00175A91"/>
    <w:rsid w:val="003E5698"/>
    <w:rsid w:val="00467885"/>
    <w:rsid w:val="00526FE2"/>
    <w:rsid w:val="005D4A64"/>
    <w:rsid w:val="007E4EFB"/>
    <w:rsid w:val="00820E13"/>
    <w:rsid w:val="00824113"/>
    <w:rsid w:val="00950EE3"/>
    <w:rsid w:val="00BC7BF5"/>
    <w:rsid w:val="00C41868"/>
    <w:rsid w:val="00C63B10"/>
    <w:rsid w:val="00C65407"/>
    <w:rsid w:val="00CC1D8B"/>
    <w:rsid w:val="00D31116"/>
    <w:rsid w:val="00DA398D"/>
    <w:rsid w:val="00F34199"/>
    <w:rsid w:val="00F721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E13"/>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C65407"/>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407"/>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175A91"/>
    <w:pPr>
      <w:tabs>
        <w:tab w:val="center" w:pos="4680"/>
        <w:tab w:val="right" w:pos="9360"/>
      </w:tabs>
    </w:pPr>
  </w:style>
  <w:style w:type="character" w:customStyle="1" w:styleId="HeaderChar">
    <w:name w:val="Header Char"/>
    <w:basedOn w:val="DefaultParagraphFont"/>
    <w:link w:val="Header"/>
    <w:uiPriority w:val="99"/>
    <w:rsid w:val="00175A9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75A91"/>
    <w:pPr>
      <w:tabs>
        <w:tab w:val="center" w:pos="4680"/>
        <w:tab w:val="right" w:pos="9360"/>
      </w:tabs>
    </w:pPr>
  </w:style>
  <w:style w:type="character" w:customStyle="1" w:styleId="FooterChar">
    <w:name w:val="Footer Char"/>
    <w:basedOn w:val="DefaultParagraphFont"/>
    <w:link w:val="Footer"/>
    <w:uiPriority w:val="99"/>
    <w:rsid w:val="00175A9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75A91"/>
    <w:rPr>
      <w:rFonts w:ascii="Tahoma" w:hAnsi="Tahoma" w:cs="Tahoma"/>
      <w:sz w:val="16"/>
      <w:szCs w:val="16"/>
    </w:rPr>
  </w:style>
  <w:style w:type="character" w:customStyle="1" w:styleId="BalloonTextChar">
    <w:name w:val="Balloon Text Char"/>
    <w:basedOn w:val="DefaultParagraphFont"/>
    <w:link w:val="BalloonText"/>
    <w:uiPriority w:val="99"/>
    <w:semiHidden/>
    <w:rsid w:val="00175A9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E13"/>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C65407"/>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407"/>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175A91"/>
    <w:pPr>
      <w:tabs>
        <w:tab w:val="center" w:pos="4680"/>
        <w:tab w:val="right" w:pos="9360"/>
      </w:tabs>
    </w:pPr>
  </w:style>
  <w:style w:type="character" w:customStyle="1" w:styleId="HeaderChar">
    <w:name w:val="Header Char"/>
    <w:basedOn w:val="DefaultParagraphFont"/>
    <w:link w:val="Header"/>
    <w:uiPriority w:val="99"/>
    <w:rsid w:val="00175A9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75A91"/>
    <w:pPr>
      <w:tabs>
        <w:tab w:val="center" w:pos="4680"/>
        <w:tab w:val="right" w:pos="9360"/>
      </w:tabs>
    </w:pPr>
  </w:style>
  <w:style w:type="character" w:customStyle="1" w:styleId="FooterChar">
    <w:name w:val="Footer Char"/>
    <w:basedOn w:val="DefaultParagraphFont"/>
    <w:link w:val="Footer"/>
    <w:uiPriority w:val="99"/>
    <w:rsid w:val="00175A9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75A91"/>
    <w:rPr>
      <w:rFonts w:ascii="Tahoma" w:hAnsi="Tahoma" w:cs="Tahoma"/>
      <w:sz w:val="16"/>
      <w:szCs w:val="16"/>
    </w:rPr>
  </w:style>
  <w:style w:type="character" w:customStyle="1" w:styleId="BalloonTextChar">
    <w:name w:val="Balloon Text Char"/>
    <w:basedOn w:val="DefaultParagraphFont"/>
    <w:link w:val="BalloonText"/>
    <w:uiPriority w:val="99"/>
    <w:semiHidden/>
    <w:rsid w:val="00175A9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6357510">
      <w:bodyDiv w:val="1"/>
      <w:marLeft w:val="0"/>
      <w:marRight w:val="0"/>
      <w:marTop w:val="0"/>
      <w:marBottom w:val="0"/>
      <w:divBdr>
        <w:top w:val="none" w:sz="0" w:space="0" w:color="auto"/>
        <w:left w:val="none" w:sz="0" w:space="0" w:color="auto"/>
        <w:bottom w:val="none" w:sz="0" w:space="0" w:color="auto"/>
        <w:right w:val="none" w:sz="0" w:space="0" w:color="auto"/>
      </w:divBdr>
      <w:divsChild>
        <w:div w:id="1317152991">
          <w:marLeft w:val="0"/>
          <w:marRight w:val="0"/>
          <w:marTop w:val="0"/>
          <w:marBottom w:val="0"/>
          <w:divBdr>
            <w:top w:val="none" w:sz="0" w:space="0" w:color="auto"/>
            <w:left w:val="none" w:sz="0" w:space="0" w:color="auto"/>
            <w:bottom w:val="none" w:sz="0" w:space="0" w:color="auto"/>
            <w:right w:val="none" w:sz="0" w:space="0" w:color="auto"/>
          </w:divBdr>
        </w:div>
      </w:divsChild>
    </w:div>
    <w:div w:id="466747888">
      <w:bodyDiv w:val="1"/>
      <w:marLeft w:val="0"/>
      <w:marRight w:val="0"/>
      <w:marTop w:val="0"/>
      <w:marBottom w:val="0"/>
      <w:divBdr>
        <w:top w:val="none" w:sz="0" w:space="0" w:color="auto"/>
        <w:left w:val="none" w:sz="0" w:space="0" w:color="auto"/>
        <w:bottom w:val="none" w:sz="0" w:space="0" w:color="auto"/>
        <w:right w:val="none" w:sz="0" w:space="0" w:color="auto"/>
      </w:divBdr>
      <w:divsChild>
        <w:div w:id="488136114">
          <w:marLeft w:val="0"/>
          <w:marRight w:val="0"/>
          <w:marTop w:val="0"/>
          <w:marBottom w:val="0"/>
          <w:divBdr>
            <w:top w:val="none" w:sz="0" w:space="0" w:color="auto"/>
            <w:left w:val="none" w:sz="0" w:space="0" w:color="auto"/>
            <w:bottom w:val="none" w:sz="0" w:space="0" w:color="auto"/>
            <w:right w:val="none" w:sz="0" w:space="0" w:color="auto"/>
          </w:divBdr>
        </w:div>
      </w:divsChild>
    </w:div>
    <w:div w:id="625046300">
      <w:bodyDiv w:val="1"/>
      <w:marLeft w:val="0"/>
      <w:marRight w:val="0"/>
      <w:marTop w:val="0"/>
      <w:marBottom w:val="0"/>
      <w:divBdr>
        <w:top w:val="none" w:sz="0" w:space="0" w:color="auto"/>
        <w:left w:val="none" w:sz="0" w:space="0" w:color="auto"/>
        <w:bottom w:val="none" w:sz="0" w:space="0" w:color="auto"/>
        <w:right w:val="none" w:sz="0" w:space="0" w:color="auto"/>
      </w:divBdr>
      <w:divsChild>
        <w:div w:id="1181511248">
          <w:marLeft w:val="0"/>
          <w:marRight w:val="0"/>
          <w:marTop w:val="0"/>
          <w:marBottom w:val="0"/>
          <w:divBdr>
            <w:top w:val="none" w:sz="0" w:space="0" w:color="auto"/>
            <w:left w:val="none" w:sz="0" w:space="0" w:color="auto"/>
            <w:bottom w:val="none" w:sz="0" w:space="0" w:color="auto"/>
            <w:right w:val="none" w:sz="0" w:space="0" w:color="auto"/>
          </w:divBdr>
        </w:div>
      </w:divsChild>
    </w:div>
    <w:div w:id="658727350">
      <w:bodyDiv w:val="1"/>
      <w:marLeft w:val="0"/>
      <w:marRight w:val="0"/>
      <w:marTop w:val="0"/>
      <w:marBottom w:val="0"/>
      <w:divBdr>
        <w:top w:val="none" w:sz="0" w:space="0" w:color="auto"/>
        <w:left w:val="none" w:sz="0" w:space="0" w:color="auto"/>
        <w:bottom w:val="none" w:sz="0" w:space="0" w:color="auto"/>
        <w:right w:val="none" w:sz="0" w:space="0" w:color="auto"/>
      </w:divBdr>
    </w:div>
    <w:div w:id="855927036">
      <w:bodyDiv w:val="1"/>
      <w:marLeft w:val="0"/>
      <w:marRight w:val="0"/>
      <w:marTop w:val="0"/>
      <w:marBottom w:val="0"/>
      <w:divBdr>
        <w:top w:val="none" w:sz="0" w:space="0" w:color="auto"/>
        <w:left w:val="none" w:sz="0" w:space="0" w:color="auto"/>
        <w:bottom w:val="none" w:sz="0" w:space="0" w:color="auto"/>
        <w:right w:val="none" w:sz="0" w:space="0" w:color="auto"/>
      </w:divBdr>
      <w:divsChild>
        <w:div w:id="636180791">
          <w:marLeft w:val="0"/>
          <w:marRight w:val="0"/>
          <w:marTop w:val="0"/>
          <w:marBottom w:val="0"/>
          <w:divBdr>
            <w:top w:val="none" w:sz="0" w:space="0" w:color="auto"/>
            <w:left w:val="none" w:sz="0" w:space="0" w:color="auto"/>
            <w:bottom w:val="none" w:sz="0" w:space="0" w:color="auto"/>
            <w:right w:val="none" w:sz="0" w:space="0" w:color="auto"/>
          </w:divBdr>
        </w:div>
      </w:divsChild>
    </w:div>
    <w:div w:id="1499619010">
      <w:bodyDiv w:val="1"/>
      <w:marLeft w:val="0"/>
      <w:marRight w:val="0"/>
      <w:marTop w:val="0"/>
      <w:marBottom w:val="0"/>
      <w:divBdr>
        <w:top w:val="none" w:sz="0" w:space="0" w:color="auto"/>
        <w:left w:val="none" w:sz="0" w:space="0" w:color="auto"/>
        <w:bottom w:val="none" w:sz="0" w:space="0" w:color="auto"/>
        <w:right w:val="none" w:sz="0" w:space="0" w:color="auto"/>
      </w:divBdr>
    </w:div>
    <w:div w:id="1920866250">
      <w:bodyDiv w:val="1"/>
      <w:marLeft w:val="0"/>
      <w:marRight w:val="0"/>
      <w:marTop w:val="0"/>
      <w:marBottom w:val="0"/>
      <w:divBdr>
        <w:top w:val="none" w:sz="0" w:space="0" w:color="auto"/>
        <w:left w:val="none" w:sz="0" w:space="0" w:color="auto"/>
        <w:bottom w:val="none" w:sz="0" w:space="0" w:color="auto"/>
        <w:right w:val="none" w:sz="0" w:space="0" w:color="auto"/>
      </w:divBdr>
      <w:divsChild>
        <w:div w:id="1211302545">
          <w:marLeft w:val="0"/>
          <w:marRight w:val="0"/>
          <w:marTop w:val="0"/>
          <w:marBottom w:val="0"/>
          <w:divBdr>
            <w:top w:val="none" w:sz="0" w:space="0" w:color="auto"/>
            <w:left w:val="none" w:sz="0" w:space="0" w:color="auto"/>
            <w:bottom w:val="none" w:sz="0" w:space="0" w:color="auto"/>
            <w:right w:val="none" w:sz="0" w:space="0" w:color="auto"/>
          </w:divBdr>
        </w:div>
      </w:divsChild>
    </w:div>
    <w:div w:id="2144157205">
      <w:bodyDiv w:val="1"/>
      <w:marLeft w:val="0"/>
      <w:marRight w:val="0"/>
      <w:marTop w:val="0"/>
      <w:marBottom w:val="0"/>
      <w:divBdr>
        <w:top w:val="none" w:sz="0" w:space="0" w:color="auto"/>
        <w:left w:val="none" w:sz="0" w:space="0" w:color="auto"/>
        <w:bottom w:val="none" w:sz="0" w:space="0" w:color="auto"/>
        <w:right w:val="none" w:sz="0" w:space="0" w:color="auto"/>
      </w:divBdr>
      <w:divsChild>
        <w:div w:id="598561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960</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2020-06-26T01:25:00Z</dcterms:created>
  <dcterms:modified xsi:type="dcterms:W3CDTF">2020-06-26T01:25:00Z</dcterms:modified>
</cp:coreProperties>
</file>